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E5394B" w:rsidTr="00E5394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5394B">
              <w:trPr>
                <w:trHeight w:val="317"/>
                <w:jc w:val="center"/>
              </w:trPr>
              <w:tc>
                <w:tcPr>
                  <w:tcW w:w="2931" w:type="dxa"/>
                  <w:tcBorders>
                    <w:top w:val="nil"/>
                    <w:left w:val="nil"/>
                    <w:bottom w:val="single" w:sz="4" w:space="0" w:color="660066"/>
                    <w:right w:val="nil"/>
                  </w:tcBorders>
                  <w:vAlign w:val="center"/>
                  <w:hideMark/>
                </w:tcPr>
                <w:p w:rsidR="00E5394B" w:rsidRDefault="00E5394B">
                  <w:pPr>
                    <w:tabs>
                      <w:tab w:val="left" w:pos="567"/>
                      <w:tab w:val="center" w:pos="994"/>
                      <w:tab w:val="center" w:pos="3543"/>
                      <w:tab w:val="right" w:pos="6520"/>
                    </w:tabs>
                    <w:spacing w:line="240" w:lineRule="exact"/>
                    <w:rPr>
                      <w:rFonts w:ascii="Arial" w:hAnsi="Arial" w:cs="Arial"/>
                      <w:b/>
                    </w:rPr>
                  </w:pPr>
                  <w:r>
                    <w:rPr>
                      <w:rFonts w:ascii="Arial" w:hAnsi="Arial" w:cs="Arial"/>
                    </w:rPr>
                    <w:t>25 Ağustos 2011 PERŞEMBE</w:t>
                  </w:r>
                </w:p>
              </w:tc>
              <w:tc>
                <w:tcPr>
                  <w:tcW w:w="2931" w:type="dxa"/>
                  <w:tcBorders>
                    <w:top w:val="nil"/>
                    <w:left w:val="nil"/>
                    <w:bottom w:val="single" w:sz="4" w:space="0" w:color="660066"/>
                    <w:right w:val="nil"/>
                  </w:tcBorders>
                  <w:vAlign w:val="center"/>
                  <w:hideMark/>
                </w:tcPr>
                <w:p w:rsidR="00E5394B" w:rsidRDefault="00E5394B">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E5394B" w:rsidRDefault="00E5394B">
                  <w:pPr>
                    <w:spacing w:before="100" w:beforeAutospacing="1" w:after="100" w:afterAutospacing="1" w:line="256" w:lineRule="auto"/>
                    <w:jc w:val="right"/>
                    <w:rPr>
                      <w:rFonts w:ascii="Arial" w:hAnsi="Arial" w:cs="Arial"/>
                      <w:b/>
                    </w:rPr>
                  </w:pPr>
                  <w:proofErr w:type="gramStart"/>
                  <w:r>
                    <w:rPr>
                      <w:rFonts w:ascii="Arial" w:hAnsi="Arial" w:cs="Arial"/>
                    </w:rPr>
                    <w:t>Sayı : 28036</w:t>
                  </w:r>
                  <w:proofErr w:type="gramEnd"/>
                </w:p>
              </w:tc>
            </w:tr>
            <w:tr w:rsidR="00E5394B">
              <w:trPr>
                <w:trHeight w:val="480"/>
                <w:jc w:val="center"/>
              </w:trPr>
              <w:tc>
                <w:tcPr>
                  <w:tcW w:w="8789" w:type="dxa"/>
                  <w:gridSpan w:val="3"/>
                  <w:vAlign w:val="center"/>
                  <w:hideMark/>
                </w:tcPr>
                <w:p w:rsidR="00E5394B" w:rsidRDefault="00E5394B">
                  <w:pPr>
                    <w:spacing w:before="100" w:beforeAutospacing="1" w:after="100" w:afterAutospacing="1" w:line="256" w:lineRule="auto"/>
                    <w:jc w:val="center"/>
                    <w:rPr>
                      <w:rFonts w:ascii="Arial" w:hAnsi="Arial" w:cs="Arial"/>
                      <w:b/>
                      <w:color w:val="000080"/>
                    </w:rPr>
                  </w:pPr>
                  <w:r>
                    <w:rPr>
                      <w:rFonts w:ascii="Arial" w:hAnsi="Arial" w:cs="Arial"/>
                      <w:b/>
                      <w:color w:val="000080"/>
                    </w:rPr>
                    <w:t>TEBLİĞ</w:t>
                  </w:r>
                </w:p>
              </w:tc>
            </w:tr>
            <w:tr w:rsidR="00E5394B">
              <w:trPr>
                <w:trHeight w:val="480"/>
                <w:jc w:val="center"/>
              </w:trPr>
              <w:tc>
                <w:tcPr>
                  <w:tcW w:w="8789" w:type="dxa"/>
                  <w:gridSpan w:val="3"/>
                  <w:vAlign w:val="center"/>
                </w:tcPr>
                <w:p w:rsidR="00E5394B" w:rsidRDefault="00E5394B">
                  <w:pPr>
                    <w:tabs>
                      <w:tab w:val="left" w:pos="566"/>
                    </w:tabs>
                    <w:spacing w:line="240" w:lineRule="exact"/>
                    <w:ind w:firstLine="567"/>
                    <w:rPr>
                      <w:rFonts w:eastAsia="ヒラギノ明朝 Pro W3"/>
                      <w:u w:val="single"/>
                      <w:lang w:eastAsia="en-US"/>
                    </w:rPr>
                  </w:pPr>
                  <w:r>
                    <w:rPr>
                      <w:rFonts w:eastAsia="ヒラギノ明朝 Pro W3"/>
                      <w:u w:val="single"/>
                      <w:lang w:eastAsia="en-US"/>
                    </w:rPr>
                    <w:t>Bilgi Teknolojileri ve İletişim Kurumundan:</w:t>
                  </w:r>
                </w:p>
                <w:p w:rsidR="00E5394B" w:rsidRDefault="00E5394B">
                  <w:pPr>
                    <w:spacing w:line="240" w:lineRule="exact"/>
                    <w:jc w:val="center"/>
                    <w:rPr>
                      <w:rFonts w:eastAsia="ヒラギノ明朝 Pro W3"/>
                      <w:b/>
                      <w:lang w:eastAsia="en-US"/>
                    </w:rPr>
                  </w:pPr>
                  <w:r>
                    <w:rPr>
                      <w:rFonts w:eastAsia="ヒラギノ明朝 Pro W3"/>
                      <w:b/>
                      <w:lang w:eastAsia="en-US"/>
                    </w:rPr>
                    <w:t>KAYITLI ELEKTRONİK POSTA SİSTEMİ İLE İLGİLİ SÜREÇLERE VE</w:t>
                  </w:r>
                </w:p>
                <w:p w:rsidR="00E5394B" w:rsidRDefault="00E5394B">
                  <w:pPr>
                    <w:spacing w:line="240" w:lineRule="exact"/>
                    <w:jc w:val="center"/>
                    <w:rPr>
                      <w:rFonts w:eastAsia="ヒラギノ明朝 Pro W3"/>
                      <w:b/>
                      <w:lang w:eastAsia="en-US"/>
                    </w:rPr>
                  </w:pPr>
                  <w:r>
                    <w:rPr>
                      <w:rFonts w:eastAsia="ヒラギノ明朝 Pro W3"/>
                      <w:b/>
                      <w:lang w:eastAsia="en-US"/>
                    </w:rPr>
                    <w:t>TEKNİK KRİTERLERE İLİŞKİN TEBLİĞ</w:t>
                  </w:r>
                </w:p>
                <w:p w:rsidR="00E5394B" w:rsidRDefault="00E5394B">
                  <w:pPr>
                    <w:spacing w:line="240" w:lineRule="exact"/>
                    <w:jc w:val="center"/>
                    <w:rPr>
                      <w:rFonts w:eastAsia="ヒラギノ明朝 Pro W3"/>
                      <w:b/>
                      <w:lang w:eastAsia="en-US"/>
                    </w:rPr>
                  </w:pPr>
                  <w:r>
                    <w:rPr>
                      <w:rFonts w:eastAsia="ヒラギノ明朝 Pro W3"/>
                      <w:b/>
                      <w:lang w:eastAsia="en-US"/>
                    </w:rPr>
                    <w:t>BİRİNCİ BÖLÜM</w:t>
                  </w:r>
                </w:p>
                <w:p w:rsidR="00E5394B" w:rsidRDefault="00E5394B">
                  <w:pPr>
                    <w:spacing w:line="240" w:lineRule="exact"/>
                    <w:jc w:val="center"/>
                    <w:rPr>
                      <w:rFonts w:eastAsia="ヒラギノ明朝 Pro W3"/>
                      <w:b/>
                      <w:lang w:eastAsia="en-US"/>
                    </w:rPr>
                  </w:pPr>
                  <w:r>
                    <w:rPr>
                      <w:rFonts w:eastAsia="ヒラギノ明朝 Pro W3"/>
                      <w:b/>
                      <w:lang w:eastAsia="en-US"/>
                    </w:rPr>
                    <w:t>Amaç, Kapsam, Dayanak ve Tanımlar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Amaç</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1 –</w:t>
                  </w:r>
                  <w:r>
                    <w:rPr>
                      <w:rFonts w:eastAsia="ヒラギノ明朝 Pro W3"/>
                      <w:lang w:eastAsia="en-US"/>
                    </w:rPr>
                    <w:t xml:space="preserve"> (1) Bu Tebliğin amacı, kayıtlı elektronik posta sistemine ilişkin süreçleri ve teknik </w:t>
                  </w:r>
                  <w:proofErr w:type="gramStart"/>
                  <w:r>
                    <w:rPr>
                      <w:rFonts w:eastAsia="ヒラギノ明朝 Pro W3"/>
                      <w:lang w:eastAsia="en-US"/>
                    </w:rPr>
                    <w:t>kriterleri</w:t>
                  </w:r>
                  <w:proofErr w:type="gramEnd"/>
                  <w:r>
                    <w:rPr>
                      <w:rFonts w:eastAsia="ヒラギノ明朝 Pro W3"/>
                      <w:lang w:eastAsia="en-US"/>
                    </w:rPr>
                    <w:t xml:space="preserve"> detaylı olarak belirlemektir.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Kapsam</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 xml:space="preserve">MADDE 2 – </w:t>
                  </w:r>
                  <w:r>
                    <w:rPr>
                      <w:rFonts w:eastAsia="ヒラギノ明朝 Pro W3"/>
                      <w:lang w:eastAsia="en-US"/>
                    </w:rPr>
                    <w:t xml:space="preserve">(1) Bu Tebliğ; </w:t>
                  </w:r>
                  <w:proofErr w:type="spellStart"/>
                  <w:r>
                    <w:rPr>
                      <w:rFonts w:eastAsia="ヒラギノ明朝 Pro W3"/>
                      <w:lang w:eastAsia="en-US"/>
                    </w:rPr>
                    <w:t>KEPHS’nin</w:t>
                  </w:r>
                  <w:proofErr w:type="spellEnd"/>
                  <w:r>
                    <w:rPr>
                      <w:rFonts w:eastAsia="ヒラギノ明朝 Pro W3"/>
                      <w:lang w:eastAsia="en-US"/>
                    </w:rPr>
                    <w:t xml:space="preserve"> işleyişine, </w:t>
                  </w:r>
                  <w:proofErr w:type="spellStart"/>
                  <w:r>
                    <w:rPr>
                      <w:rFonts w:eastAsia="ヒラギノ明朝 Pro W3"/>
                      <w:lang w:eastAsia="en-US"/>
                    </w:rPr>
                    <w:t>KEPHS’nin</w:t>
                  </w:r>
                  <w:proofErr w:type="spellEnd"/>
                  <w:r>
                    <w:rPr>
                      <w:rFonts w:eastAsia="ヒラギノ明朝 Pro W3"/>
                      <w:lang w:eastAsia="en-US"/>
                    </w:rPr>
                    <w:t xml:space="preserve"> faaliyetleri için kullandığı sistem, cihaz ile fiziki güvenliğine, personeline ve hizmetlerine ilişkin teknik hususları kapsar.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Dayanak</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3 –</w:t>
                  </w:r>
                  <w:r>
                    <w:rPr>
                      <w:rFonts w:eastAsia="ヒラギノ明朝 Pro W3"/>
                      <w:lang w:eastAsia="en-US"/>
                    </w:rPr>
                    <w:t xml:space="preserve"> (1) Bu Tebliğ, Kayıtlı Elektronik Posta Sistemine İlişkin Usul ve Esaslar Hakkında Yönetmeliğin 21 inci maddesine dayanılarak hazırlanmıştır.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Tanımlar ve kısaltmalar</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4 –</w:t>
                  </w:r>
                  <w:r>
                    <w:rPr>
                      <w:rFonts w:eastAsia="ヒラギノ明朝 Pro W3"/>
                      <w:lang w:eastAsia="en-US"/>
                    </w:rPr>
                    <w:t xml:space="preserve"> (1) Bu Tebliğde geçen;</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Yönetmelik: Kayıtlı Elektronik Posta Sistemine İlişkin Usul ve Esaslar Hakkında Yönetmelik,</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BS (British </w:t>
                  </w:r>
                  <w:proofErr w:type="spellStart"/>
                  <w:r>
                    <w:rPr>
                      <w:rFonts w:eastAsia="ヒラギノ明朝 Pro W3"/>
                      <w:lang w:eastAsia="en-US"/>
                    </w:rPr>
                    <w:t>Standards</w:t>
                  </w:r>
                  <w:proofErr w:type="spellEnd"/>
                  <w:r>
                    <w:rPr>
                      <w:rFonts w:eastAsia="ヒラギノ明朝 Pro W3"/>
                      <w:lang w:eastAsia="en-US"/>
                    </w:rPr>
                    <w:t>): İngiliz standartlarını,</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CWA (CEN Workshop </w:t>
                  </w:r>
                  <w:proofErr w:type="spellStart"/>
                  <w:r>
                    <w:rPr>
                      <w:rFonts w:eastAsia="ヒラギノ明朝 Pro W3"/>
                      <w:lang w:eastAsia="en-US"/>
                    </w:rPr>
                    <w:t>Agreement</w:t>
                  </w:r>
                  <w:proofErr w:type="spellEnd"/>
                  <w:r>
                    <w:rPr>
                      <w:rFonts w:eastAsia="ヒラギノ明朝 Pro W3"/>
                      <w:lang w:eastAsia="en-US"/>
                    </w:rPr>
                    <w:t xml:space="preserve">): CEN </w:t>
                  </w:r>
                  <w:proofErr w:type="spellStart"/>
                  <w:r>
                    <w:rPr>
                      <w:rFonts w:eastAsia="ヒラギノ明朝 Pro W3"/>
                      <w:lang w:eastAsia="en-US"/>
                    </w:rPr>
                    <w:t>Çalıştay</w:t>
                  </w:r>
                  <w:proofErr w:type="spellEnd"/>
                  <w:r>
                    <w:rPr>
                      <w:rFonts w:eastAsia="ヒラギノ明朝 Pro W3"/>
                      <w:lang w:eastAsia="en-US"/>
                    </w:rPr>
                    <w:t xml:space="preserve"> Kararını,</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EAL (Evaluation </w:t>
                  </w:r>
                  <w:proofErr w:type="spellStart"/>
                  <w:r>
                    <w:rPr>
                      <w:rFonts w:eastAsia="ヒラギノ明朝 Pro W3"/>
                      <w:lang w:eastAsia="en-US"/>
                    </w:rPr>
                    <w:t>Assurance</w:t>
                  </w:r>
                  <w:proofErr w:type="spellEnd"/>
                  <w:r>
                    <w:rPr>
                      <w:rFonts w:eastAsia="ヒラギノ明朝 Pro W3"/>
                      <w:lang w:eastAsia="en-US"/>
                    </w:rPr>
                    <w:t xml:space="preserve"> Level): Değerlendirme Garanti Düzeyini,</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ETSI (</w:t>
                  </w:r>
                  <w:proofErr w:type="spellStart"/>
                  <w:r>
                    <w:rPr>
                      <w:rFonts w:eastAsia="ヒラギノ明朝 Pro W3"/>
                      <w:lang w:eastAsia="en-US"/>
                    </w:rPr>
                    <w:t>European</w:t>
                  </w:r>
                  <w:proofErr w:type="spellEnd"/>
                  <w:r>
                    <w:rPr>
                      <w:rFonts w:eastAsia="ヒラギノ明朝 Pro W3"/>
                      <w:lang w:eastAsia="en-US"/>
                    </w:rPr>
                    <w:t xml:space="preserve"> </w:t>
                  </w:r>
                  <w:proofErr w:type="spellStart"/>
                  <w:r>
                    <w:rPr>
                      <w:rFonts w:eastAsia="ヒラギノ明朝 Pro W3"/>
                      <w:lang w:eastAsia="en-US"/>
                    </w:rPr>
                    <w:t>Telecommunications</w:t>
                  </w:r>
                  <w:proofErr w:type="spellEnd"/>
                  <w:r>
                    <w:rPr>
                      <w:rFonts w:eastAsia="ヒラギノ明朝 Pro W3"/>
                      <w:lang w:eastAsia="en-US"/>
                    </w:rPr>
                    <w:t xml:space="preserve"> </w:t>
                  </w:r>
                  <w:proofErr w:type="spellStart"/>
                  <w:r>
                    <w:rPr>
                      <w:rFonts w:eastAsia="ヒラギノ明朝 Pro W3"/>
                      <w:lang w:eastAsia="en-US"/>
                    </w:rPr>
                    <w:t>Standards</w:t>
                  </w:r>
                  <w:proofErr w:type="spellEnd"/>
                  <w:r>
                    <w:rPr>
                      <w:rFonts w:eastAsia="ヒラギノ明朝 Pro W3"/>
                      <w:lang w:eastAsia="en-US"/>
                    </w:rPr>
                    <w:t xml:space="preserve"> </w:t>
                  </w:r>
                  <w:proofErr w:type="spellStart"/>
                  <w:r>
                    <w:rPr>
                      <w:rFonts w:eastAsia="ヒラギノ明朝 Pro W3"/>
                      <w:lang w:eastAsia="en-US"/>
                    </w:rPr>
                    <w:t>Institute</w:t>
                  </w:r>
                  <w:proofErr w:type="spellEnd"/>
                  <w:r>
                    <w:rPr>
                      <w:rFonts w:eastAsia="ヒラギノ明朝 Pro W3"/>
                      <w:lang w:eastAsia="en-US"/>
                    </w:rPr>
                    <w:t>): Avrupa Telekomünikasyon Standartları Enstitüsünü,</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ETSI SR (ETSI Special Report): ETSI özel raporunu,</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ETSI TS (ETSI Technical </w:t>
                  </w:r>
                  <w:proofErr w:type="spellStart"/>
                  <w:r>
                    <w:rPr>
                      <w:rFonts w:eastAsia="ヒラギノ明朝 Pro W3"/>
                      <w:lang w:eastAsia="en-US"/>
                    </w:rPr>
                    <w:t>Specification</w:t>
                  </w:r>
                  <w:proofErr w:type="spellEnd"/>
                  <w:r>
                    <w:rPr>
                      <w:rFonts w:eastAsia="ヒラギノ明朝 Pro W3"/>
                      <w:lang w:eastAsia="en-US"/>
                    </w:rPr>
                    <w:t>): ETSI teknik özelliklerini,</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FIPS PUB (Federal Information </w:t>
                  </w:r>
                  <w:proofErr w:type="spellStart"/>
                  <w:r>
                    <w:rPr>
                      <w:rFonts w:eastAsia="ヒラギノ明朝 Pro W3"/>
                      <w:lang w:eastAsia="en-US"/>
                    </w:rPr>
                    <w:t>Processing</w:t>
                  </w:r>
                  <w:proofErr w:type="spellEnd"/>
                  <w:r>
                    <w:rPr>
                      <w:rFonts w:eastAsia="ヒラギノ明朝 Pro W3"/>
                      <w:lang w:eastAsia="en-US"/>
                    </w:rPr>
                    <w:t xml:space="preserve"> </w:t>
                  </w:r>
                  <w:proofErr w:type="spellStart"/>
                  <w:r>
                    <w:rPr>
                      <w:rFonts w:eastAsia="ヒラギノ明朝 Pro W3"/>
                      <w:lang w:eastAsia="en-US"/>
                    </w:rPr>
                    <w:t>Standards</w:t>
                  </w:r>
                  <w:proofErr w:type="spellEnd"/>
                  <w:r>
                    <w:rPr>
                      <w:rFonts w:eastAsia="ヒラギノ明朝 Pro W3"/>
                      <w:lang w:eastAsia="en-US"/>
                    </w:rPr>
                    <w:t xml:space="preserve"> Publications): Federal Bilgi İşleme Standartları Yayınlarını,</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ISO/IEC (International </w:t>
                  </w:r>
                  <w:proofErr w:type="spellStart"/>
                  <w:r>
                    <w:rPr>
                      <w:rFonts w:eastAsia="ヒラギノ明朝 Pro W3"/>
                      <w:lang w:eastAsia="en-US"/>
                    </w:rPr>
                    <w:t>Organisation</w:t>
                  </w:r>
                  <w:proofErr w:type="spellEnd"/>
                  <w:r>
                    <w:rPr>
                      <w:rFonts w:eastAsia="ヒラギノ明朝 Pro W3"/>
                      <w:lang w:eastAsia="en-US"/>
                    </w:rPr>
                    <w:t xml:space="preserve"> </w:t>
                  </w:r>
                  <w:proofErr w:type="spellStart"/>
                  <w:r>
                    <w:rPr>
                      <w:rFonts w:eastAsia="ヒラギノ明朝 Pro W3"/>
                      <w:lang w:eastAsia="en-US"/>
                    </w:rPr>
                    <w:t>for</w:t>
                  </w:r>
                  <w:proofErr w:type="spellEnd"/>
                  <w:r>
                    <w:rPr>
                      <w:rFonts w:eastAsia="ヒラギノ明朝 Pro W3"/>
                      <w:lang w:eastAsia="en-US"/>
                    </w:rPr>
                    <w:t xml:space="preserve"> </w:t>
                  </w:r>
                  <w:proofErr w:type="spellStart"/>
                  <w:r>
                    <w:rPr>
                      <w:rFonts w:eastAsia="ヒラギノ明朝 Pro W3"/>
                      <w:lang w:eastAsia="en-US"/>
                    </w:rPr>
                    <w:t>Standardization</w:t>
                  </w:r>
                  <w:proofErr w:type="spellEnd"/>
                  <w:r>
                    <w:rPr>
                      <w:rFonts w:eastAsia="ヒラギノ明朝 Pro W3"/>
                      <w:lang w:eastAsia="en-US"/>
                    </w:rPr>
                    <w:t xml:space="preserve">/International </w:t>
                  </w:r>
                  <w:proofErr w:type="spellStart"/>
                  <w:r>
                    <w:rPr>
                      <w:rFonts w:eastAsia="ヒラギノ明朝 Pro W3"/>
                      <w:lang w:eastAsia="en-US"/>
                    </w:rPr>
                    <w:t>Electrotechnical</w:t>
                  </w:r>
                  <w:proofErr w:type="spellEnd"/>
                  <w:r>
                    <w:rPr>
                      <w:rFonts w:eastAsia="ヒラギノ明朝 Pro W3"/>
                      <w:lang w:eastAsia="en-US"/>
                    </w:rPr>
                    <w:t xml:space="preserve"> </w:t>
                  </w:r>
                  <w:proofErr w:type="spellStart"/>
                  <w:r>
                    <w:rPr>
                      <w:rFonts w:eastAsia="ヒラギノ明朝 Pro W3"/>
                      <w:lang w:eastAsia="en-US"/>
                    </w:rPr>
                    <w:t>Commitee</w:t>
                  </w:r>
                  <w:proofErr w:type="spellEnd"/>
                  <w:r>
                    <w:rPr>
                      <w:rFonts w:eastAsia="ヒラギノ明朝 Pro W3"/>
                      <w:lang w:eastAsia="en-US"/>
                    </w:rPr>
                    <w:t>): Uluslararası Standardizasyon Teşkilatı/Uluslararası Elektroteknik Komitesini,</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KEP: Kayıtlı elektronik postayı,</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KEPHS: Kayıtlı elektronik posta hizmet sağlayıcısını,</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W3C (</w:t>
                  </w:r>
                  <w:proofErr w:type="spellStart"/>
                  <w:r>
                    <w:rPr>
                      <w:rFonts w:eastAsia="ヒラギノ明朝 Pro W3"/>
                      <w:lang w:eastAsia="en-US"/>
                    </w:rPr>
                    <w:t>The</w:t>
                  </w:r>
                  <w:proofErr w:type="spellEnd"/>
                  <w:r>
                    <w:rPr>
                      <w:rFonts w:eastAsia="ヒラギノ明朝 Pro W3"/>
                      <w:lang w:eastAsia="en-US"/>
                    </w:rPr>
                    <w:t xml:space="preserve"> World </w:t>
                  </w:r>
                  <w:proofErr w:type="spellStart"/>
                  <w:r>
                    <w:rPr>
                      <w:rFonts w:eastAsia="ヒラギノ明朝 Pro W3"/>
                      <w:lang w:eastAsia="en-US"/>
                    </w:rPr>
                    <w:t>Wide</w:t>
                  </w:r>
                  <w:proofErr w:type="spellEnd"/>
                  <w:r>
                    <w:rPr>
                      <w:rFonts w:eastAsia="ヒラギノ明朝 Pro W3"/>
                      <w:lang w:eastAsia="en-US"/>
                    </w:rPr>
                    <w:t xml:space="preserve"> Web </w:t>
                  </w:r>
                  <w:proofErr w:type="spellStart"/>
                  <w:r>
                    <w:rPr>
                      <w:rFonts w:eastAsia="ヒラギノ明朝 Pro W3"/>
                      <w:lang w:eastAsia="en-US"/>
                    </w:rPr>
                    <w:t>Consortium</w:t>
                  </w:r>
                  <w:proofErr w:type="spellEnd"/>
                  <w:r>
                    <w:rPr>
                      <w:rFonts w:eastAsia="ヒラギノ明朝 Pro W3"/>
                      <w:lang w:eastAsia="en-US"/>
                    </w:rPr>
                    <w:t xml:space="preserve">): WWW </w:t>
                  </w:r>
                  <w:proofErr w:type="gramStart"/>
                  <w:r>
                    <w:rPr>
                      <w:rFonts w:eastAsia="ヒラギノ明朝 Pro W3"/>
                      <w:lang w:eastAsia="en-US"/>
                    </w:rPr>
                    <w:t>konsorsiyumunu</w:t>
                  </w:r>
                  <w:proofErr w:type="gramEnd"/>
                </w:p>
                <w:p w:rsidR="00E5394B" w:rsidRDefault="00E5394B">
                  <w:pPr>
                    <w:tabs>
                      <w:tab w:val="left" w:pos="566"/>
                    </w:tabs>
                    <w:spacing w:line="240" w:lineRule="exact"/>
                    <w:ind w:firstLine="566"/>
                    <w:jc w:val="both"/>
                    <w:rPr>
                      <w:rFonts w:eastAsia="ヒラギノ明朝 Pro W3"/>
                      <w:lang w:eastAsia="en-US"/>
                    </w:rPr>
                  </w:pPr>
                  <w:proofErr w:type="gramStart"/>
                  <w:r>
                    <w:rPr>
                      <w:rFonts w:eastAsia="ヒラギノ明朝 Pro W3"/>
                      <w:lang w:eastAsia="en-US"/>
                    </w:rPr>
                    <w:t>ifade</w:t>
                  </w:r>
                  <w:proofErr w:type="gramEnd"/>
                  <w:r>
                    <w:rPr>
                      <w:rFonts w:eastAsia="ヒラギノ明朝 Pro W3"/>
                      <w:lang w:eastAsia="en-US"/>
                    </w:rPr>
                    <w:t xml:space="preserve"> eder.</w:t>
                  </w:r>
                </w:p>
                <w:p w:rsidR="00E5394B" w:rsidRDefault="00E5394B">
                  <w:pPr>
                    <w:spacing w:line="240" w:lineRule="exact"/>
                    <w:jc w:val="center"/>
                    <w:rPr>
                      <w:rFonts w:eastAsia="ヒラギノ明朝 Pro W3"/>
                      <w:b/>
                      <w:lang w:eastAsia="en-US"/>
                    </w:rPr>
                  </w:pPr>
                  <w:r>
                    <w:rPr>
                      <w:rFonts w:eastAsia="ヒラギノ明朝 Pro W3"/>
                      <w:b/>
                      <w:lang w:eastAsia="en-US"/>
                    </w:rPr>
                    <w:t>İKİNCİ BÖLÜM</w:t>
                  </w:r>
                </w:p>
                <w:p w:rsidR="00E5394B" w:rsidRDefault="00E5394B">
                  <w:pPr>
                    <w:spacing w:line="240" w:lineRule="exact"/>
                    <w:jc w:val="center"/>
                    <w:rPr>
                      <w:rFonts w:eastAsia="ヒラギノ明朝 Pro W3"/>
                      <w:b/>
                      <w:lang w:eastAsia="en-US"/>
                    </w:rPr>
                  </w:pPr>
                  <w:r>
                    <w:rPr>
                      <w:rFonts w:eastAsia="ヒラギノ明朝 Pro W3"/>
                      <w:b/>
                      <w:lang w:eastAsia="en-US"/>
                    </w:rPr>
                    <w:t>Teknik Hususlar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Kayıtlı elektronik posta hizmet sağlayıcısının işleyişi</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5 –</w:t>
                  </w:r>
                  <w:r>
                    <w:rPr>
                      <w:rFonts w:eastAsia="ヒラギノ明朝 Pro W3"/>
                      <w:lang w:eastAsia="en-US"/>
                    </w:rPr>
                    <w:t xml:space="preserve"> (1) KEPHS, işleyişinin bütün aşamalarında ETSI TS 102 640 standardına uyar.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Algoritma ve parametreler</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6 –</w:t>
                  </w:r>
                  <w:r>
                    <w:rPr>
                      <w:rFonts w:eastAsia="ヒラギノ明朝 Pro W3"/>
                      <w:lang w:eastAsia="en-US"/>
                    </w:rPr>
                    <w:t xml:space="preserve"> (1) KEPHS, elektronik imza, işlem sertifikası ve özetleme algoritmalarına ilişkin olarak 6/1/2005 tarih ve 25692 sayılı Resmî </w:t>
                  </w:r>
                  <w:proofErr w:type="spellStart"/>
                  <w:r>
                    <w:rPr>
                      <w:rFonts w:eastAsia="ヒラギノ明朝 Pro W3"/>
                      <w:lang w:eastAsia="en-US"/>
                    </w:rPr>
                    <w:t>Gazete’de</w:t>
                  </w:r>
                  <w:proofErr w:type="spellEnd"/>
                  <w:r>
                    <w:rPr>
                      <w:rFonts w:eastAsia="ヒラギノ明朝 Pro W3"/>
                      <w:lang w:eastAsia="en-US"/>
                    </w:rPr>
                    <w:t xml:space="preserve"> yayımlanan “Elektronik İmza ile İlgili Süreçlere ve Teknik Kriterlere İlişkin </w:t>
                  </w:r>
                  <w:proofErr w:type="spellStart"/>
                  <w:r>
                    <w:rPr>
                      <w:rFonts w:eastAsia="ヒラギノ明朝 Pro W3"/>
                      <w:lang w:eastAsia="en-US"/>
                    </w:rPr>
                    <w:t>Tebliğ”in</w:t>
                  </w:r>
                  <w:proofErr w:type="spellEnd"/>
                  <w:r>
                    <w:rPr>
                      <w:rFonts w:eastAsia="ヒラギノ明朝 Pro W3"/>
                      <w:lang w:eastAsia="en-US"/>
                    </w:rPr>
                    <w:t xml:space="preserve"> 6 </w:t>
                  </w:r>
                  <w:proofErr w:type="spellStart"/>
                  <w:r>
                    <w:rPr>
                      <w:rFonts w:eastAsia="ヒラギノ明朝 Pro W3"/>
                      <w:lang w:eastAsia="en-US"/>
                    </w:rPr>
                    <w:t>ncı</w:t>
                  </w:r>
                  <w:proofErr w:type="spellEnd"/>
                  <w:r>
                    <w:rPr>
                      <w:rFonts w:eastAsia="ヒラギノ明朝 Pro W3"/>
                      <w:lang w:eastAsia="en-US"/>
                    </w:rPr>
                    <w:t xml:space="preserve"> maddesinin (b) ve (c) bendinde yer alan şartlara uyar.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Kayıtlı elektronik posta uygulama esasları</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7 –</w:t>
                  </w:r>
                  <w:r>
                    <w:rPr>
                      <w:rFonts w:eastAsia="ヒラギノ明朝 Pro W3"/>
                      <w:lang w:eastAsia="en-US"/>
                    </w:rPr>
                    <w:t xml:space="preserve"> (1) KEPHS; KEP uygulama esaslarını ETSI TS 102 640 standardına uygun olarak hazırlar.</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(2) KEPHS, her KEP hesabı için en az 100 MB depolama alanı sunar. Gönderilen ve alınan orijinal iletilerin büyüklük sınırlaması 10 MB’nin altında olamaz. Depolama alanı dolduğunda KEPHS ilgili KEP hesabından orijinal ileti gönderilmesini engelleyebilir ancak ileti alınmasını engelleyemez.</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 xml:space="preserve">Güvenlik </w:t>
                  </w:r>
                  <w:proofErr w:type="gramStart"/>
                  <w:r>
                    <w:rPr>
                      <w:rFonts w:eastAsia="ヒラギノ明朝 Pro W3"/>
                      <w:b/>
                      <w:lang w:eastAsia="en-US"/>
                    </w:rPr>
                    <w:t>kriterleri</w:t>
                  </w:r>
                  <w:proofErr w:type="gramEnd"/>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8 –</w:t>
                  </w:r>
                  <w:r>
                    <w:rPr>
                      <w:rFonts w:eastAsia="ヒラギノ明朝 Pro W3"/>
                      <w:lang w:eastAsia="en-US"/>
                    </w:rPr>
                    <w:t xml:space="preserve"> (1) KEPHS, güvenlik </w:t>
                  </w:r>
                  <w:proofErr w:type="gramStart"/>
                  <w:r>
                    <w:rPr>
                      <w:rFonts w:eastAsia="ヒラギノ明朝 Pro W3"/>
                      <w:lang w:eastAsia="en-US"/>
                    </w:rPr>
                    <w:t>kriterlerine</w:t>
                  </w:r>
                  <w:proofErr w:type="gramEnd"/>
                  <w:r>
                    <w:rPr>
                      <w:rFonts w:eastAsia="ヒラギノ明朝 Pro W3"/>
                      <w:lang w:eastAsia="en-US"/>
                    </w:rPr>
                    <w:t xml:space="preserve"> ilişkin olarak;</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lastRenderedPageBreak/>
                    <w:t>a) ETSI TS 102 640,</w:t>
                  </w:r>
                  <w:bookmarkStart w:id="0" w:name="_GoBack"/>
                  <w:bookmarkEnd w:id="0"/>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b) TS ISO/IEC 27001 veya ISO/IEC 27001,</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c) BS 10012,</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d) ISO/IEC 27031,</w:t>
                  </w:r>
                </w:p>
                <w:p w:rsidR="00E5394B" w:rsidRDefault="00E5394B">
                  <w:pPr>
                    <w:tabs>
                      <w:tab w:val="left" w:pos="566"/>
                    </w:tabs>
                    <w:spacing w:line="240" w:lineRule="exact"/>
                    <w:ind w:firstLine="566"/>
                    <w:jc w:val="both"/>
                    <w:rPr>
                      <w:rFonts w:eastAsia="ヒラギノ明朝 Pro W3"/>
                      <w:lang w:eastAsia="en-US"/>
                    </w:rPr>
                  </w:pPr>
                  <w:proofErr w:type="gramStart"/>
                  <w:r>
                    <w:rPr>
                      <w:rFonts w:eastAsia="ヒラギノ明朝 Pro W3"/>
                      <w:lang w:eastAsia="en-US"/>
                    </w:rPr>
                    <w:t>standartlarına</w:t>
                  </w:r>
                  <w:proofErr w:type="gramEnd"/>
                  <w:r>
                    <w:rPr>
                      <w:rFonts w:eastAsia="ヒラギノ明朝 Pro W3"/>
                      <w:lang w:eastAsia="en-US"/>
                    </w:rPr>
                    <w:t xml:space="preserve"> uyar.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Erişilebilirlik</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9 –</w:t>
                  </w:r>
                  <w:r>
                    <w:rPr>
                      <w:rFonts w:eastAsia="ヒラギノ明朝 Pro W3"/>
                      <w:lang w:eastAsia="en-US"/>
                    </w:rPr>
                    <w:t xml:space="preserve"> (1) KEPHS, engelli kişilerin KEP sisteminden yararlanmalarını sağlamak amacıyla W3C’nin “Web erişilebilirlik girişim yönergesi” (Web Content Accessibility </w:t>
                  </w:r>
                  <w:proofErr w:type="spellStart"/>
                  <w:r>
                    <w:rPr>
                      <w:rFonts w:eastAsia="ヒラギノ明朝 Pro W3"/>
                      <w:lang w:eastAsia="en-US"/>
                    </w:rPr>
                    <w:t>Guidelines</w:t>
                  </w:r>
                  <w:proofErr w:type="spellEnd"/>
                  <w:r>
                    <w:rPr>
                      <w:rFonts w:eastAsia="ヒラギノ明朝 Pro W3"/>
                      <w:lang w:eastAsia="en-US"/>
                    </w:rPr>
                    <w:t>)’ne uyar.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Belgeler</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10 –</w:t>
                  </w:r>
                  <w:r>
                    <w:rPr>
                      <w:rFonts w:eastAsia="ヒラギノ明朝 Pro W3"/>
                      <w:lang w:eastAsia="en-US"/>
                    </w:rPr>
                    <w:t xml:space="preserve"> (1) KEPHS;</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a) TS ISO/IEC 27001 veya ISO/IEC 27001 standardına uygunluğunu,</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b) Elektronik imza oluşturma araçlarının;</w:t>
                  </w:r>
                </w:p>
                <w:p w:rsidR="00E5394B" w:rsidRDefault="00E5394B">
                  <w:pPr>
                    <w:tabs>
                      <w:tab w:val="left" w:pos="566"/>
                    </w:tabs>
                    <w:spacing w:line="240" w:lineRule="exact"/>
                    <w:ind w:firstLine="566"/>
                    <w:jc w:val="both"/>
                    <w:rPr>
                      <w:rFonts w:eastAsia="ヒラギノ明朝 Pro W3"/>
                      <w:lang w:eastAsia="en-US"/>
                    </w:rPr>
                  </w:pPr>
                  <w:proofErr w:type="gramStart"/>
                  <w:r>
                    <w:rPr>
                      <w:rFonts w:eastAsia="ヒラギノ明朝 Pro W3"/>
                      <w:lang w:eastAsia="en-US"/>
                    </w:rPr>
                    <w:t>i</w:t>
                  </w:r>
                  <w:proofErr w:type="gramEnd"/>
                  <w:r>
                    <w:rPr>
                      <w:rFonts w:eastAsia="ヒラギノ明朝 Pro W3"/>
                      <w:lang w:eastAsia="en-US"/>
                    </w:rPr>
                    <w:t>. FIPS PUB 140-2’ye göre seviye 3 veya üzerinde olduğunu veya</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 xml:space="preserve">ii. CWA 14167-2’de belirtilen </w:t>
                  </w:r>
                  <w:proofErr w:type="gramStart"/>
                  <w:r>
                    <w:rPr>
                      <w:rFonts w:eastAsia="ヒラギノ明朝 Pro W3"/>
                      <w:lang w:eastAsia="en-US"/>
                    </w:rPr>
                    <w:t>kriterlere</w:t>
                  </w:r>
                  <w:proofErr w:type="gramEnd"/>
                  <w:r>
                    <w:rPr>
                      <w:rFonts w:eastAsia="ヒラギノ明朝 Pro W3"/>
                      <w:lang w:eastAsia="en-US"/>
                    </w:rPr>
                    <w:t xml:space="preserve"> uygunluğunu veya</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iii. CWA 14169 standardına uygun ve TS ISO/IEC 15408 (-l,-2,-3)’e veya</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ISO/IEC 15408 (-1,-2,-3)’e göre en az EAL4+ seviyesinde olduğunu</w:t>
                  </w:r>
                </w:p>
                <w:p w:rsidR="00E5394B" w:rsidRDefault="00E5394B">
                  <w:pPr>
                    <w:tabs>
                      <w:tab w:val="left" w:pos="566"/>
                    </w:tabs>
                    <w:spacing w:line="240" w:lineRule="exact"/>
                    <w:ind w:firstLine="566"/>
                    <w:jc w:val="both"/>
                    <w:rPr>
                      <w:rFonts w:eastAsia="ヒラギノ明朝 Pro W3"/>
                      <w:lang w:eastAsia="en-US"/>
                    </w:rPr>
                  </w:pPr>
                  <w:proofErr w:type="gramStart"/>
                  <w:r>
                    <w:rPr>
                      <w:rFonts w:eastAsia="ヒラギノ明朝 Pro W3"/>
                      <w:lang w:eastAsia="en-US"/>
                    </w:rPr>
                    <w:t>yetkili</w:t>
                  </w:r>
                  <w:proofErr w:type="gramEnd"/>
                  <w:r>
                    <w:rPr>
                      <w:rFonts w:eastAsia="ヒラギノ明朝 Pro W3"/>
                      <w:lang w:eastAsia="en-US"/>
                    </w:rPr>
                    <w:t xml:space="preserve"> kurum veya kuruluşlardan alınan belgelerle belgelendirir.</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lang w:eastAsia="en-US"/>
                    </w:rPr>
                    <w:t>(2) KEPHS, BS 10012 ve ISO/IEC 27031 standartlarına uygunluğunu Kuruma beyan eder.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Yürürlük</w:t>
                  </w:r>
                </w:p>
                <w:p w:rsidR="00E5394B" w:rsidRDefault="00E5394B">
                  <w:pPr>
                    <w:tabs>
                      <w:tab w:val="left" w:pos="566"/>
                    </w:tabs>
                    <w:spacing w:line="240" w:lineRule="exact"/>
                    <w:ind w:firstLine="566"/>
                    <w:jc w:val="both"/>
                    <w:rPr>
                      <w:rFonts w:eastAsia="ヒラギノ明朝 Pro W3"/>
                      <w:lang w:eastAsia="en-US"/>
                    </w:rPr>
                  </w:pPr>
                  <w:r>
                    <w:rPr>
                      <w:rFonts w:eastAsia="ヒラギノ明朝 Pro W3"/>
                      <w:b/>
                      <w:lang w:eastAsia="en-US"/>
                    </w:rPr>
                    <w:t>MADDE 11 –</w:t>
                  </w:r>
                  <w:r>
                    <w:rPr>
                      <w:rFonts w:eastAsia="ヒラギノ明朝 Pro W3"/>
                      <w:lang w:eastAsia="en-US"/>
                    </w:rPr>
                    <w:t xml:space="preserve"> (1) Bu Tebliğ yayımı tarihinde yürürlüğe girer.</w:t>
                  </w:r>
                </w:p>
                <w:p w:rsidR="00E5394B" w:rsidRDefault="00E5394B">
                  <w:pPr>
                    <w:tabs>
                      <w:tab w:val="left" w:pos="566"/>
                    </w:tabs>
                    <w:spacing w:line="240" w:lineRule="exact"/>
                    <w:ind w:firstLine="566"/>
                    <w:jc w:val="both"/>
                    <w:rPr>
                      <w:rFonts w:eastAsia="ヒラギノ明朝 Pro W3"/>
                      <w:b/>
                      <w:lang w:eastAsia="en-US"/>
                    </w:rPr>
                  </w:pPr>
                  <w:r>
                    <w:rPr>
                      <w:rFonts w:eastAsia="ヒラギノ明朝 Pro W3"/>
                      <w:b/>
                      <w:lang w:eastAsia="en-US"/>
                    </w:rPr>
                    <w:t>Yürütme</w:t>
                  </w:r>
                </w:p>
                <w:p w:rsidR="00E5394B" w:rsidRDefault="00E5394B">
                  <w:pPr>
                    <w:tabs>
                      <w:tab w:val="left" w:pos="566"/>
                    </w:tabs>
                    <w:spacing w:line="240" w:lineRule="exact"/>
                    <w:ind w:firstLine="566"/>
                    <w:jc w:val="both"/>
                    <w:rPr>
                      <w:rFonts w:eastAsia="ヒラギノ明朝 Pro W3"/>
                      <w:lang w:val="en-GB" w:eastAsia="en-US"/>
                    </w:rPr>
                  </w:pPr>
                  <w:r>
                    <w:rPr>
                      <w:rFonts w:eastAsia="ヒラギノ明朝 Pro W3"/>
                      <w:b/>
                      <w:lang w:eastAsia="en-US"/>
                    </w:rPr>
                    <w:t>MADDE 12 –</w:t>
                  </w:r>
                  <w:r>
                    <w:rPr>
                      <w:rFonts w:eastAsia="ヒラギノ明朝 Pro W3"/>
                      <w:lang w:eastAsia="en-US"/>
                    </w:rPr>
                    <w:t xml:space="preserve"> (1) Bu Tebliğ hükümlerini Bilgi Teknolojileri ve İletişim Kurulu Başkanı yürütür.</w:t>
                  </w:r>
                </w:p>
                <w:p w:rsidR="00E5394B" w:rsidRDefault="00E5394B">
                  <w:pPr>
                    <w:spacing w:before="100" w:beforeAutospacing="1" w:after="100" w:afterAutospacing="1" w:line="256" w:lineRule="auto"/>
                    <w:jc w:val="center"/>
                    <w:rPr>
                      <w:rFonts w:ascii="Arial" w:hAnsi="Arial" w:cs="Arial"/>
                      <w:b/>
                      <w:color w:val="000080"/>
                    </w:rPr>
                  </w:pPr>
                </w:p>
              </w:tc>
            </w:tr>
          </w:tbl>
          <w:p w:rsidR="00E5394B" w:rsidRDefault="00E5394B">
            <w:pPr>
              <w:spacing w:line="256" w:lineRule="auto"/>
              <w:jc w:val="center"/>
            </w:pPr>
          </w:p>
        </w:tc>
      </w:tr>
    </w:tbl>
    <w:p w:rsidR="00E5394B" w:rsidRDefault="00E5394B" w:rsidP="00E5394B">
      <w:pPr>
        <w:jc w:val="center"/>
      </w:pPr>
    </w:p>
    <w:p w:rsidR="00E5394B" w:rsidRDefault="00E5394B" w:rsidP="00E5394B"/>
    <w:p w:rsidR="00427148" w:rsidRDefault="00427148"/>
    <w:sectPr w:rsidR="00427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4B"/>
    <w:rsid w:val="00427148"/>
    <w:rsid w:val="00E5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C194D-7876-458D-818A-5C946E78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Sermest</dc:creator>
  <cp:keywords/>
  <dc:description/>
  <cp:lastModifiedBy>Sermest</cp:lastModifiedBy>
  <cp:revision>1</cp:revision>
  <dcterms:created xsi:type="dcterms:W3CDTF">2021-04-02T17:46:00Z</dcterms:created>
  <dcterms:modified xsi:type="dcterms:W3CDTF">2021-04-02T17:47:00Z</dcterms:modified>
</cp:coreProperties>
</file>